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128" w:rsidRDefault="005A1128" w:rsidP="005A1128">
      <w:pPr>
        <w:pStyle w:val="Default"/>
      </w:pPr>
    </w:p>
    <w:p w:rsidR="005A1128" w:rsidRDefault="005A1128" w:rsidP="005A1128">
      <w:pPr>
        <w:pStyle w:val="Default"/>
      </w:pPr>
    </w:p>
    <w:p w:rsidR="005A1128" w:rsidRDefault="005A1128" w:rsidP="005A1128">
      <w:pPr>
        <w:pStyle w:val="Default"/>
        <w:rPr>
          <w:b/>
          <w:bCs/>
          <w:sz w:val="20"/>
          <w:szCs w:val="20"/>
          <w:lang w:val="en-US"/>
        </w:rPr>
      </w:pPr>
      <w:proofErr w:type="spellStart"/>
      <w:r w:rsidRPr="005A1128">
        <w:rPr>
          <w:b/>
          <w:bCs/>
          <w:sz w:val="20"/>
          <w:szCs w:val="20"/>
          <w:lang w:val="en-US"/>
        </w:rPr>
        <w:t>ClinGen</w:t>
      </w:r>
      <w:proofErr w:type="spellEnd"/>
      <w:r w:rsidRPr="005A1128">
        <w:rPr>
          <w:b/>
          <w:bCs/>
          <w:sz w:val="20"/>
          <w:szCs w:val="20"/>
          <w:lang w:val="en-US"/>
        </w:rPr>
        <w:t xml:space="preserve"> </w:t>
      </w:r>
      <w:proofErr w:type="spellStart"/>
      <w:r w:rsidRPr="005A1128">
        <w:rPr>
          <w:b/>
          <w:bCs/>
          <w:sz w:val="19"/>
          <w:szCs w:val="19"/>
          <w:lang w:val="en-US"/>
        </w:rPr>
        <w:t>InSiGHT</w:t>
      </w:r>
      <w:proofErr w:type="spellEnd"/>
      <w:r w:rsidRPr="005A1128">
        <w:rPr>
          <w:b/>
          <w:bCs/>
          <w:sz w:val="19"/>
          <w:szCs w:val="19"/>
          <w:lang w:val="en-US"/>
        </w:rPr>
        <w:t xml:space="preserve"> Hereditary Colorectal Cancer/Polyposis Variant Curation </w:t>
      </w:r>
      <w:r w:rsidRPr="005A1128">
        <w:rPr>
          <w:b/>
          <w:bCs/>
          <w:sz w:val="20"/>
          <w:szCs w:val="20"/>
          <w:lang w:val="en-US"/>
        </w:rPr>
        <w:t xml:space="preserve">Expert Panel Specifications to the ACMG/AMP Variant Interpretation Guidelines Version </w:t>
      </w:r>
      <w:r>
        <w:rPr>
          <w:b/>
          <w:bCs/>
          <w:sz w:val="20"/>
          <w:szCs w:val="20"/>
          <w:lang w:val="en-US"/>
        </w:rPr>
        <w:t>2.0.1</w:t>
      </w:r>
      <w:bookmarkStart w:id="0" w:name="_GoBack"/>
      <w:bookmarkEnd w:id="0"/>
      <w:r w:rsidRPr="005A1128">
        <w:rPr>
          <w:b/>
          <w:bCs/>
          <w:sz w:val="20"/>
          <w:szCs w:val="20"/>
          <w:lang w:val="en-US"/>
        </w:rPr>
        <w:t xml:space="preserve"> </w:t>
      </w:r>
    </w:p>
    <w:p w:rsidR="005A1128" w:rsidRDefault="005A1128" w:rsidP="005A1128">
      <w:pPr>
        <w:pStyle w:val="Default"/>
        <w:rPr>
          <w:i/>
          <w:iCs/>
          <w:sz w:val="20"/>
          <w:szCs w:val="20"/>
          <w:lang w:val="en-US"/>
        </w:rPr>
      </w:pPr>
      <w:r w:rsidRPr="005A1128">
        <w:rPr>
          <w:sz w:val="20"/>
          <w:szCs w:val="20"/>
          <w:lang w:val="en-US"/>
        </w:rPr>
        <w:t xml:space="preserve">This version specified for the following gene: </w:t>
      </w:r>
      <w:r w:rsidRPr="005A1128">
        <w:rPr>
          <w:i/>
          <w:iCs/>
          <w:sz w:val="20"/>
          <w:szCs w:val="20"/>
          <w:lang w:val="en-US"/>
        </w:rPr>
        <w:t xml:space="preserve">APC </w:t>
      </w:r>
    </w:p>
    <w:p w:rsidR="005A1128" w:rsidRDefault="005A1128" w:rsidP="005A1128">
      <w:pPr>
        <w:pStyle w:val="Default"/>
        <w:rPr>
          <w:sz w:val="19"/>
          <w:szCs w:val="19"/>
          <w:lang w:val="en-US"/>
        </w:rPr>
      </w:pPr>
      <w:r w:rsidRPr="005A1128">
        <w:rPr>
          <w:sz w:val="20"/>
          <w:szCs w:val="20"/>
          <w:lang w:val="en-US"/>
        </w:rPr>
        <w:t xml:space="preserve">Expert Panel Page: </w:t>
      </w:r>
      <w:r w:rsidRPr="005A1128">
        <w:rPr>
          <w:sz w:val="19"/>
          <w:szCs w:val="19"/>
          <w:lang w:val="en-US"/>
        </w:rPr>
        <w:t xml:space="preserve">https://www.clinicalgenome.org/affiliation/50099 </w:t>
      </w:r>
    </w:p>
    <w:p w:rsidR="005A1128" w:rsidRDefault="005A1128" w:rsidP="005A1128">
      <w:pPr>
        <w:pStyle w:val="Default"/>
        <w:rPr>
          <w:sz w:val="19"/>
          <w:szCs w:val="19"/>
          <w:lang w:val="en-US"/>
        </w:rPr>
      </w:pPr>
    </w:p>
    <w:p w:rsidR="005A1128" w:rsidRDefault="005A1128" w:rsidP="005A1128">
      <w:pPr>
        <w:pStyle w:val="Default"/>
        <w:rPr>
          <w:sz w:val="19"/>
          <w:szCs w:val="19"/>
          <w:lang w:val="en-US"/>
        </w:rPr>
      </w:pPr>
    </w:p>
    <w:p w:rsidR="005A1128" w:rsidRPr="005A1128" w:rsidRDefault="005A1128" w:rsidP="005A1128">
      <w:pPr>
        <w:pStyle w:val="Default"/>
        <w:rPr>
          <w:sz w:val="22"/>
          <w:szCs w:val="22"/>
          <w:lang w:val="en-US"/>
        </w:rPr>
      </w:pPr>
      <w:r w:rsidRPr="005A1128">
        <w:rPr>
          <w:b/>
          <w:bCs/>
          <w:sz w:val="22"/>
          <w:szCs w:val="22"/>
          <w:lang w:val="en-US"/>
        </w:rPr>
        <w:t xml:space="preserve">RULES FOR COMBINING CRITERIA </w:t>
      </w:r>
    </w:p>
    <w:p w:rsidR="005A1128" w:rsidRPr="005A1128" w:rsidRDefault="005A1128" w:rsidP="005A1128">
      <w:pPr>
        <w:pStyle w:val="Default"/>
        <w:rPr>
          <w:sz w:val="22"/>
          <w:szCs w:val="22"/>
          <w:lang w:val="en-US"/>
        </w:rPr>
      </w:pPr>
      <w:r w:rsidRPr="005A1128">
        <w:rPr>
          <w:b/>
          <w:bCs/>
          <w:sz w:val="22"/>
          <w:szCs w:val="22"/>
          <w:lang w:val="en-US"/>
        </w:rPr>
        <w:t xml:space="preserve">Important notes: </w:t>
      </w:r>
    </w:p>
    <w:p w:rsidR="005A1128" w:rsidRPr="005A1128" w:rsidRDefault="005A1128" w:rsidP="005A1128">
      <w:pPr>
        <w:pStyle w:val="Default"/>
        <w:rPr>
          <w:sz w:val="22"/>
          <w:szCs w:val="22"/>
          <w:lang w:val="en-US"/>
        </w:rPr>
      </w:pPr>
      <w:r w:rsidRPr="005A1128">
        <w:rPr>
          <w:sz w:val="22"/>
          <w:szCs w:val="22"/>
          <w:lang w:val="en-US"/>
        </w:rPr>
        <w:t xml:space="preserve">As per the SVI Working Group’s recommendations, in addition to the original rules for combining pathogenic criteria, these additional rules apply for variant curation in the </w:t>
      </w:r>
      <w:r w:rsidRPr="005A1128">
        <w:rPr>
          <w:i/>
          <w:iCs/>
          <w:sz w:val="22"/>
          <w:szCs w:val="22"/>
          <w:lang w:val="en-US"/>
        </w:rPr>
        <w:t xml:space="preserve">APC </w:t>
      </w:r>
      <w:r w:rsidRPr="005A1128">
        <w:rPr>
          <w:sz w:val="22"/>
          <w:szCs w:val="22"/>
          <w:lang w:val="en-US"/>
        </w:rPr>
        <w:t xml:space="preserve">gene. </w:t>
      </w:r>
    </w:p>
    <w:p w:rsidR="005A1128" w:rsidRPr="005A1128" w:rsidRDefault="005A1128" w:rsidP="005A1128">
      <w:pPr>
        <w:pStyle w:val="Default"/>
        <w:spacing w:after="40"/>
        <w:rPr>
          <w:sz w:val="22"/>
          <w:szCs w:val="22"/>
          <w:lang w:val="en-US"/>
        </w:rPr>
      </w:pPr>
      <w:r w:rsidRPr="005A1128">
        <w:rPr>
          <w:sz w:val="22"/>
          <w:szCs w:val="22"/>
          <w:lang w:val="en-US"/>
        </w:rPr>
        <w:t xml:space="preserve">1) The combination of one Pathogenic-Very Strong criterion and one Pathogenic-Supporting criterion reach a classification of Likely pathogenic. </w:t>
      </w:r>
    </w:p>
    <w:p w:rsidR="005A1128" w:rsidRPr="005A1128" w:rsidRDefault="005A1128" w:rsidP="005A1128">
      <w:pPr>
        <w:pStyle w:val="Default"/>
        <w:spacing w:after="40"/>
        <w:rPr>
          <w:sz w:val="22"/>
          <w:szCs w:val="22"/>
          <w:lang w:val="en-US"/>
        </w:rPr>
      </w:pPr>
      <w:r w:rsidRPr="005A1128">
        <w:rPr>
          <w:sz w:val="22"/>
          <w:szCs w:val="22"/>
          <w:lang w:val="en-US"/>
        </w:rPr>
        <w:t xml:space="preserve">2) The fulfillment of one Benign-Strong criterion reaches Likely Benign. </w:t>
      </w:r>
    </w:p>
    <w:p w:rsidR="005A1128" w:rsidRPr="005A1128" w:rsidRDefault="005A1128" w:rsidP="005A1128">
      <w:pPr>
        <w:pStyle w:val="Default"/>
        <w:spacing w:after="40"/>
        <w:rPr>
          <w:sz w:val="22"/>
          <w:szCs w:val="22"/>
          <w:lang w:val="en-US"/>
        </w:rPr>
      </w:pPr>
      <w:r w:rsidRPr="005A1128">
        <w:rPr>
          <w:sz w:val="22"/>
          <w:szCs w:val="22"/>
          <w:lang w:val="en-US"/>
        </w:rPr>
        <w:t xml:space="preserve">3) If a rare variant fulfilling only PM2_Supporting but not any other pathogenic codes also meets criteria for classification as (Likely) Benign, the population data </w:t>
      </w:r>
      <w:proofErr w:type="gramStart"/>
      <w:r w:rsidRPr="005A1128">
        <w:rPr>
          <w:sz w:val="22"/>
          <w:szCs w:val="22"/>
          <w:lang w:val="en-US"/>
        </w:rPr>
        <w:t>is not considered</w:t>
      </w:r>
      <w:proofErr w:type="gramEnd"/>
      <w:r w:rsidRPr="005A1128">
        <w:rPr>
          <w:sz w:val="22"/>
          <w:szCs w:val="22"/>
          <w:lang w:val="en-US"/>
        </w:rPr>
        <w:t xml:space="preserve"> conflicting and the variant can be classified as (Likely) Benign. </w:t>
      </w:r>
    </w:p>
    <w:p w:rsidR="005A1128" w:rsidRPr="005A1128" w:rsidRDefault="005A1128" w:rsidP="005A1128">
      <w:pPr>
        <w:pStyle w:val="Default"/>
        <w:spacing w:after="40"/>
        <w:rPr>
          <w:sz w:val="22"/>
          <w:szCs w:val="22"/>
          <w:lang w:val="en-US"/>
        </w:rPr>
      </w:pPr>
      <w:r w:rsidRPr="005A1128">
        <w:rPr>
          <w:sz w:val="22"/>
          <w:szCs w:val="22"/>
          <w:lang w:val="en-US"/>
        </w:rPr>
        <w:t xml:space="preserve">4) PVS1 </w:t>
      </w:r>
      <w:proofErr w:type="gramStart"/>
      <w:r w:rsidRPr="005A1128">
        <w:rPr>
          <w:sz w:val="22"/>
          <w:szCs w:val="22"/>
          <w:lang w:val="en-US"/>
        </w:rPr>
        <w:t>cannot be applied</w:t>
      </w:r>
      <w:proofErr w:type="gramEnd"/>
      <w:r w:rsidRPr="005A1128">
        <w:rPr>
          <w:sz w:val="22"/>
          <w:szCs w:val="22"/>
          <w:lang w:val="en-US"/>
        </w:rPr>
        <w:t xml:space="preserve"> in conjunction with splicing predictions (PP3) or RNA assays (PS3). </w:t>
      </w:r>
    </w:p>
    <w:p w:rsidR="005A1128" w:rsidRPr="005A1128" w:rsidRDefault="005A1128" w:rsidP="005A1128">
      <w:pPr>
        <w:pStyle w:val="Default"/>
        <w:spacing w:after="40"/>
        <w:rPr>
          <w:sz w:val="22"/>
          <w:szCs w:val="22"/>
          <w:lang w:val="en-US"/>
        </w:rPr>
      </w:pPr>
      <w:r w:rsidRPr="005A1128">
        <w:rPr>
          <w:sz w:val="22"/>
          <w:szCs w:val="22"/>
          <w:lang w:val="en-US"/>
        </w:rPr>
        <w:t xml:space="preserve">5) If RNA assay findings conflict with splice predictors, RNA findings overrides computational predictions (i.e., BS3 over PP3, and PS3 over BP4). </w:t>
      </w:r>
    </w:p>
    <w:p w:rsidR="005A1128" w:rsidRPr="005A1128" w:rsidRDefault="005A1128" w:rsidP="005A1128">
      <w:pPr>
        <w:pStyle w:val="Default"/>
        <w:rPr>
          <w:sz w:val="22"/>
          <w:szCs w:val="22"/>
          <w:lang w:val="en-US"/>
        </w:rPr>
      </w:pPr>
      <w:r w:rsidRPr="005A1128">
        <w:rPr>
          <w:sz w:val="22"/>
          <w:szCs w:val="22"/>
          <w:lang w:val="en-US"/>
        </w:rPr>
        <w:t xml:space="preserve">6) PS4_Variable and PP1_Variable </w:t>
      </w:r>
      <w:proofErr w:type="gramStart"/>
      <w:r w:rsidRPr="005A1128">
        <w:rPr>
          <w:sz w:val="22"/>
          <w:szCs w:val="22"/>
          <w:lang w:val="en-US"/>
        </w:rPr>
        <w:t>should not be applied</w:t>
      </w:r>
      <w:proofErr w:type="gramEnd"/>
      <w:r w:rsidRPr="005A1128">
        <w:rPr>
          <w:sz w:val="22"/>
          <w:szCs w:val="22"/>
          <w:lang w:val="en-US"/>
        </w:rPr>
        <w:t xml:space="preserve"> to a variant if BS1 is met; meeting PM2_Supporting is not required so that clinical criteria may apply for pathogenic variants with some population data. </w:t>
      </w:r>
    </w:p>
    <w:p w:rsidR="00B53BCF" w:rsidRPr="005A1128" w:rsidRDefault="00B53BCF">
      <w:pPr>
        <w:rPr>
          <w:lang w:val="en-US"/>
        </w:rPr>
      </w:pPr>
    </w:p>
    <w:sectPr w:rsidR="00B53BCF" w:rsidRPr="005A1128" w:rsidSect="00631381">
      <w:pgSz w:w="12240" w:h="16340"/>
      <w:pgMar w:top="895" w:right="900" w:bottom="417" w:left="50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128"/>
    <w:rsid w:val="005A1128"/>
    <w:rsid w:val="00B5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1760C"/>
  <w15:chartTrackingRefBased/>
  <w15:docId w15:val="{FFD5FD66-45D8-45D3-AD98-14810D045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5A112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Uniklinik Bonn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Spier, Dr. Isabel</dc:creator>
  <cp:keywords/>
  <dc:description/>
  <cp:lastModifiedBy>Spier, Dr. Isabel</cp:lastModifiedBy>
  <cp:revision>1</cp:revision>
  <dcterms:created xsi:type="dcterms:W3CDTF">2023-07-06T07:55:00Z</dcterms:created>
  <dcterms:modified xsi:type="dcterms:W3CDTF">2023-07-06T07:57:00Z</dcterms:modified>
</cp:coreProperties>
</file>