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C4CA9" w14:textId="7CBC726A" w:rsidR="00B939B0" w:rsidRPr="00B939B0" w:rsidRDefault="00B939B0" w:rsidP="00B939B0">
      <w:pPr>
        <w:pStyle w:val="NoSpacing"/>
        <w:rPr>
          <w:sz w:val="24"/>
          <w:szCs w:val="24"/>
        </w:rPr>
      </w:pPr>
      <w:r w:rsidRPr="00B939B0">
        <w:rPr>
          <w:sz w:val="24"/>
          <w:szCs w:val="24"/>
        </w:rPr>
        <w:t xml:space="preserve">HHT is an autosomal dominant vascular dysplasia characterized by vascular malformations missing normal capillary connections between artery and vein; referred to as </w:t>
      </w:r>
      <w:proofErr w:type="spellStart"/>
      <w:r w:rsidRPr="00B939B0">
        <w:rPr>
          <w:sz w:val="24"/>
          <w:szCs w:val="24"/>
        </w:rPr>
        <w:t>telangiectases</w:t>
      </w:r>
      <w:proofErr w:type="spellEnd"/>
      <w:r w:rsidRPr="00B939B0">
        <w:rPr>
          <w:sz w:val="24"/>
          <w:szCs w:val="24"/>
        </w:rPr>
        <w:t xml:space="preserve"> when small (typically in cutaneous or mucosal tissue) and arteriovenous malformations (AVMs) when larger (typically in solid organs). The prevalence is estimated to be 1/5,000 (PMID: 32894695). Penetrance is age-dependent, with 95% penetrance of at least one manifestation by age 35 (PMID: 1518020; PMID: 12920067).</w:t>
      </w:r>
    </w:p>
    <w:p w14:paraId="38BF8958" w14:textId="77777777" w:rsidR="00B939B0" w:rsidRDefault="00B939B0" w:rsidP="00B939B0">
      <w:pPr>
        <w:pStyle w:val="NoSpacing"/>
        <w:rPr>
          <w:b/>
          <w:bCs/>
          <w:sz w:val="24"/>
          <w:szCs w:val="24"/>
          <w:u w:val="single"/>
        </w:rPr>
      </w:pPr>
    </w:p>
    <w:p w14:paraId="47D85B72" w14:textId="5D9C4511" w:rsidR="00B939B0" w:rsidRPr="00B939B0" w:rsidRDefault="00B939B0" w:rsidP="00B939B0">
      <w:pPr>
        <w:pStyle w:val="NoSpacing"/>
        <w:rPr>
          <w:b/>
          <w:bCs/>
          <w:sz w:val="24"/>
          <w:szCs w:val="24"/>
          <w:u w:val="single"/>
        </w:rPr>
      </w:pPr>
      <w:r w:rsidRPr="00B939B0">
        <w:rPr>
          <w:b/>
          <w:bCs/>
          <w:sz w:val="24"/>
          <w:szCs w:val="24"/>
          <w:u w:val="single"/>
        </w:rPr>
        <w:t xml:space="preserve">PS4 </w:t>
      </w:r>
      <w:r>
        <w:rPr>
          <w:b/>
          <w:bCs/>
          <w:sz w:val="24"/>
          <w:szCs w:val="24"/>
          <w:u w:val="single"/>
        </w:rPr>
        <w:t>p</w:t>
      </w:r>
      <w:r w:rsidRPr="00B939B0">
        <w:rPr>
          <w:b/>
          <w:bCs/>
          <w:sz w:val="24"/>
          <w:szCs w:val="24"/>
          <w:u w:val="single"/>
        </w:rPr>
        <w:t>henotype requirement:</w:t>
      </w:r>
    </w:p>
    <w:p w14:paraId="761072DB" w14:textId="3DDB3184" w:rsidR="00B939B0" w:rsidRDefault="00B939B0" w:rsidP="00B939B0">
      <w:pPr>
        <w:rPr>
          <w:sz w:val="24"/>
          <w:szCs w:val="24"/>
        </w:rPr>
      </w:pPr>
      <w:r w:rsidRPr="00B939B0">
        <w:rPr>
          <w:sz w:val="24"/>
          <w:szCs w:val="24"/>
        </w:rPr>
        <w:t>In general, individuals should be reported to have at least 2 manifestations to be included as affected for the purpose of this rule. Reported history of nosebleeds alone should not be considered sufficient in application of this rule since 11% of the general population reports 6 or more nosebleeds per year (PMID: 26391603). Report and/or description of manifestations with low phenocopy rates (</w:t>
      </w:r>
      <w:proofErr w:type="gramStart"/>
      <w:r w:rsidRPr="00B939B0">
        <w:rPr>
          <w:sz w:val="24"/>
          <w:szCs w:val="24"/>
        </w:rPr>
        <w:t>e.g.</w:t>
      </w:r>
      <w:proofErr w:type="gramEnd"/>
      <w:r w:rsidRPr="00B939B0">
        <w:rPr>
          <w:sz w:val="24"/>
          <w:szCs w:val="24"/>
        </w:rPr>
        <w:t xml:space="preserve"> pulmonary AVMs (PMID: 35165143) or chronic severe nose bleeding requiring intervention) would be considered particularly suggestive of the diagnosis. Pulmonary hypertension (PH) is a rare manifestation of HHT: post-capillary pulmonary hypertension (due to high cardiac output leading to left-heart failure, secondary to shunting through hepatic vascular malformations), and more rarely, pre-capillary pulmonary arterial hypertension (PAH) (PMID: 28981519). Individuals reported to have only PH may be included in proband counting since PH in known to present in individuals with pathogenic variants in ACVRL1 and ENG without reported telangiectasia and AVMs.  </w:t>
      </w:r>
    </w:p>
    <w:p w14:paraId="6D8AABC9" w14:textId="1269C642" w:rsidR="00B939B0" w:rsidRPr="00B939B0" w:rsidRDefault="00B939B0" w:rsidP="00B939B0">
      <w:pPr>
        <w:pStyle w:val="NoSpacing"/>
        <w:rPr>
          <w:b/>
          <w:bCs/>
          <w:sz w:val="24"/>
          <w:szCs w:val="24"/>
          <w:u w:val="single"/>
        </w:rPr>
      </w:pPr>
      <w:r w:rsidRPr="00B939B0">
        <w:rPr>
          <w:b/>
          <w:bCs/>
          <w:sz w:val="24"/>
          <w:szCs w:val="24"/>
          <w:u w:val="single"/>
        </w:rPr>
        <w:t>PP4</w:t>
      </w:r>
      <w:r>
        <w:rPr>
          <w:b/>
          <w:bCs/>
          <w:sz w:val="24"/>
          <w:szCs w:val="24"/>
          <w:u w:val="single"/>
        </w:rPr>
        <w:t>_Moderate</w:t>
      </w:r>
      <w:r w:rsidRPr="00B939B0">
        <w:rPr>
          <w:b/>
          <w:bCs/>
          <w:sz w:val="24"/>
          <w:szCs w:val="24"/>
          <w:u w:val="single"/>
        </w:rPr>
        <w:t xml:space="preserve"> </w:t>
      </w:r>
      <w:r>
        <w:rPr>
          <w:b/>
          <w:bCs/>
          <w:sz w:val="24"/>
          <w:szCs w:val="24"/>
          <w:u w:val="single"/>
        </w:rPr>
        <w:t>p</w:t>
      </w:r>
      <w:r w:rsidRPr="00B939B0">
        <w:rPr>
          <w:b/>
          <w:bCs/>
          <w:sz w:val="24"/>
          <w:szCs w:val="24"/>
          <w:u w:val="single"/>
        </w:rPr>
        <w:t>henotype requirement:</w:t>
      </w:r>
    </w:p>
    <w:p w14:paraId="54D8D553" w14:textId="5238F137" w:rsidR="00B939B0" w:rsidRPr="001E7BCB" w:rsidRDefault="00B939B0" w:rsidP="00B939B0">
      <w:pPr>
        <w:rPr>
          <w:sz w:val="24"/>
          <w:szCs w:val="24"/>
        </w:rPr>
      </w:pPr>
      <w:r w:rsidRPr="001E7BCB">
        <w:rPr>
          <w:sz w:val="24"/>
          <w:szCs w:val="24"/>
        </w:rPr>
        <w:t>Consensus clinical diagnostic criteria for HHT are referred to as the Curaçao Criteria (PMID: 10751092) and require at least 3 of the following:</w:t>
      </w:r>
    </w:p>
    <w:p w14:paraId="1D7CC6F1" w14:textId="77777777" w:rsidR="00B939B0" w:rsidRPr="001E7BCB" w:rsidRDefault="00B939B0" w:rsidP="00B939B0">
      <w:pPr>
        <w:pStyle w:val="ListParagraph"/>
        <w:numPr>
          <w:ilvl w:val="0"/>
          <w:numId w:val="1"/>
        </w:numPr>
        <w:rPr>
          <w:sz w:val="24"/>
          <w:szCs w:val="24"/>
        </w:rPr>
      </w:pPr>
      <w:r w:rsidRPr="001E7BCB">
        <w:rPr>
          <w:sz w:val="24"/>
          <w:szCs w:val="24"/>
        </w:rPr>
        <w:t xml:space="preserve">Epistaxis- spontaneous and </w:t>
      </w:r>
      <w:r w:rsidRPr="001E7BCB">
        <w:rPr>
          <w:b/>
          <w:sz w:val="24"/>
          <w:szCs w:val="24"/>
        </w:rPr>
        <w:t>recurrent</w:t>
      </w:r>
      <w:r w:rsidRPr="001E7BCB">
        <w:rPr>
          <w:sz w:val="24"/>
          <w:szCs w:val="24"/>
        </w:rPr>
        <w:t xml:space="preserve"> </w:t>
      </w:r>
    </w:p>
    <w:p w14:paraId="56E8D3B5" w14:textId="77777777" w:rsidR="00B939B0" w:rsidRPr="001E7BCB" w:rsidRDefault="00B939B0" w:rsidP="00B939B0">
      <w:pPr>
        <w:pStyle w:val="ListParagraph"/>
        <w:numPr>
          <w:ilvl w:val="0"/>
          <w:numId w:val="1"/>
        </w:numPr>
        <w:rPr>
          <w:sz w:val="24"/>
          <w:szCs w:val="24"/>
        </w:rPr>
      </w:pPr>
      <w:proofErr w:type="spellStart"/>
      <w:r w:rsidRPr="001E7BCB">
        <w:rPr>
          <w:sz w:val="24"/>
          <w:szCs w:val="24"/>
        </w:rPr>
        <w:t>Telangiectases</w:t>
      </w:r>
      <w:proofErr w:type="spellEnd"/>
      <w:r w:rsidRPr="001E7BCB">
        <w:rPr>
          <w:sz w:val="24"/>
          <w:szCs w:val="24"/>
        </w:rPr>
        <w:t xml:space="preserve">- multiple at </w:t>
      </w:r>
      <w:r w:rsidRPr="001E7BCB">
        <w:rPr>
          <w:b/>
          <w:sz w:val="24"/>
          <w:szCs w:val="24"/>
        </w:rPr>
        <w:t>characteristic sites</w:t>
      </w:r>
      <w:r w:rsidRPr="001E7BCB">
        <w:rPr>
          <w:sz w:val="24"/>
          <w:szCs w:val="24"/>
        </w:rPr>
        <w:t xml:space="preserve"> (lips, oral cavity, fingers, nose)</w:t>
      </w:r>
    </w:p>
    <w:p w14:paraId="3D0E9D85" w14:textId="77777777" w:rsidR="00B939B0" w:rsidRPr="001E7BCB" w:rsidRDefault="00B939B0" w:rsidP="00B939B0">
      <w:pPr>
        <w:pStyle w:val="ListParagraph"/>
        <w:numPr>
          <w:ilvl w:val="0"/>
          <w:numId w:val="1"/>
        </w:numPr>
        <w:rPr>
          <w:sz w:val="24"/>
          <w:szCs w:val="24"/>
        </w:rPr>
      </w:pPr>
      <w:r w:rsidRPr="001E7BCB">
        <w:rPr>
          <w:sz w:val="24"/>
          <w:szCs w:val="24"/>
        </w:rPr>
        <w:t xml:space="preserve">Internal lesions- </w:t>
      </w:r>
      <w:r w:rsidRPr="001E7BCB">
        <w:rPr>
          <w:b/>
          <w:sz w:val="24"/>
          <w:szCs w:val="24"/>
        </w:rPr>
        <w:t>such as</w:t>
      </w:r>
      <w:r w:rsidRPr="001E7BCB">
        <w:rPr>
          <w:sz w:val="24"/>
          <w:szCs w:val="24"/>
        </w:rPr>
        <w:t xml:space="preserve"> gastrointestinal telangiectasia; pulmonary, cerebral, hepatic, spinal AVM</w:t>
      </w:r>
    </w:p>
    <w:p w14:paraId="0539453C" w14:textId="40221ADF" w:rsidR="00020A2D" w:rsidRPr="00B939B0" w:rsidRDefault="00B939B0" w:rsidP="00B939B0">
      <w:pPr>
        <w:pStyle w:val="ListParagraph"/>
        <w:numPr>
          <w:ilvl w:val="0"/>
          <w:numId w:val="1"/>
        </w:numPr>
        <w:rPr>
          <w:sz w:val="24"/>
          <w:szCs w:val="24"/>
        </w:rPr>
      </w:pPr>
      <w:r w:rsidRPr="001E7BCB">
        <w:rPr>
          <w:sz w:val="24"/>
          <w:szCs w:val="24"/>
        </w:rPr>
        <w:t xml:space="preserve">Family history- first degree relative with HHT </w:t>
      </w:r>
      <w:r w:rsidRPr="001E7BCB">
        <w:rPr>
          <w:b/>
          <w:sz w:val="24"/>
          <w:szCs w:val="24"/>
        </w:rPr>
        <w:t>according to these criteria</w:t>
      </w:r>
    </w:p>
    <w:p w14:paraId="68D1BA7E" w14:textId="13845E7B" w:rsidR="00B939B0" w:rsidRPr="00B939B0" w:rsidRDefault="00B939B0" w:rsidP="00B939B0">
      <w:pPr>
        <w:pStyle w:val="NoSpacing"/>
        <w:rPr>
          <w:b/>
          <w:bCs/>
          <w:sz w:val="24"/>
          <w:szCs w:val="24"/>
          <w:u w:val="single"/>
        </w:rPr>
      </w:pPr>
      <w:r w:rsidRPr="00B939B0">
        <w:rPr>
          <w:b/>
          <w:bCs/>
          <w:sz w:val="24"/>
          <w:szCs w:val="24"/>
          <w:u w:val="single"/>
        </w:rPr>
        <w:t xml:space="preserve">PP1/BS4 </w:t>
      </w:r>
      <w:r>
        <w:rPr>
          <w:b/>
          <w:bCs/>
          <w:sz w:val="24"/>
          <w:szCs w:val="24"/>
          <w:u w:val="single"/>
        </w:rPr>
        <w:t>p</w:t>
      </w:r>
      <w:r w:rsidRPr="00B939B0">
        <w:rPr>
          <w:b/>
          <w:bCs/>
          <w:sz w:val="24"/>
          <w:szCs w:val="24"/>
          <w:u w:val="single"/>
        </w:rPr>
        <w:t>henotype requirements:</w:t>
      </w:r>
    </w:p>
    <w:p w14:paraId="0071F459" w14:textId="776DB666" w:rsidR="00B939B0" w:rsidRPr="007E5EBB" w:rsidRDefault="00B939B0" w:rsidP="00B939B0">
      <w:pPr>
        <w:rPr>
          <w:sz w:val="24"/>
          <w:szCs w:val="24"/>
        </w:rPr>
      </w:pPr>
      <w:r w:rsidRPr="007E5EBB">
        <w:rPr>
          <w:sz w:val="24"/>
          <w:szCs w:val="24"/>
        </w:rPr>
        <w:t xml:space="preserve">Assignment of affected/unaffected status to family members must consider that the most common manifestations of HHT (nosebleeds and </w:t>
      </w:r>
      <w:proofErr w:type="spellStart"/>
      <w:r w:rsidRPr="007E5EBB">
        <w:rPr>
          <w:sz w:val="24"/>
          <w:szCs w:val="24"/>
        </w:rPr>
        <w:t>telangiectases</w:t>
      </w:r>
      <w:proofErr w:type="spellEnd"/>
      <w:r w:rsidRPr="007E5EBB">
        <w:rPr>
          <w:sz w:val="24"/>
          <w:szCs w:val="24"/>
        </w:rPr>
        <w:t xml:space="preserve">) have </w:t>
      </w:r>
      <w:r w:rsidRPr="009A6886">
        <w:rPr>
          <w:sz w:val="24"/>
          <w:szCs w:val="24"/>
        </w:rPr>
        <w:t>significant</w:t>
      </w:r>
      <w:r>
        <w:rPr>
          <w:sz w:val="24"/>
          <w:szCs w:val="24"/>
        </w:rPr>
        <w:t xml:space="preserve"> </w:t>
      </w:r>
      <w:r w:rsidRPr="007E5EBB">
        <w:rPr>
          <w:sz w:val="24"/>
          <w:szCs w:val="24"/>
        </w:rPr>
        <w:t xml:space="preserve">phenocopy rates, age-related penetrance, and variable expression. </w:t>
      </w:r>
    </w:p>
    <w:p w14:paraId="2EB7AE69" w14:textId="77777777" w:rsidR="00B939B0" w:rsidRPr="007E5EBB" w:rsidRDefault="00B939B0" w:rsidP="00B939B0">
      <w:pPr>
        <w:rPr>
          <w:sz w:val="24"/>
          <w:szCs w:val="24"/>
        </w:rPr>
      </w:pPr>
      <w:r w:rsidRPr="007E5EBB">
        <w:rPr>
          <w:sz w:val="24"/>
          <w:szCs w:val="24"/>
        </w:rPr>
        <w:t xml:space="preserve">Recommendations for assignment of affected/unaffected status for purpose of inclusion in co-segregation study: </w:t>
      </w:r>
    </w:p>
    <w:p w14:paraId="57AAC5D5" w14:textId="77777777" w:rsidR="00B939B0" w:rsidRPr="007E5EBB" w:rsidRDefault="00B939B0" w:rsidP="00B939B0">
      <w:pPr>
        <w:rPr>
          <w:sz w:val="24"/>
          <w:szCs w:val="24"/>
        </w:rPr>
      </w:pPr>
      <w:r w:rsidRPr="007E5EBB">
        <w:rPr>
          <w:sz w:val="24"/>
          <w:szCs w:val="24"/>
        </w:rPr>
        <w:t>Affected: 3 or more manifestations of HHT (</w:t>
      </w:r>
      <w:r>
        <w:rPr>
          <w:sz w:val="24"/>
          <w:szCs w:val="24"/>
        </w:rPr>
        <w:t>f</w:t>
      </w:r>
      <w:r w:rsidRPr="007E5EBB">
        <w:rPr>
          <w:sz w:val="24"/>
          <w:szCs w:val="24"/>
        </w:rPr>
        <w:t xml:space="preserve">irst-degree relative with HHT by Curaçao Criteria, counts as one). </w:t>
      </w:r>
    </w:p>
    <w:p w14:paraId="4D746551" w14:textId="77777777" w:rsidR="00B939B0" w:rsidRPr="007E5EBB" w:rsidRDefault="00B939B0" w:rsidP="00B939B0">
      <w:pPr>
        <w:rPr>
          <w:b/>
          <w:sz w:val="24"/>
          <w:szCs w:val="24"/>
        </w:rPr>
      </w:pPr>
      <w:r w:rsidRPr="007E5EBB">
        <w:rPr>
          <w:sz w:val="24"/>
          <w:szCs w:val="24"/>
        </w:rPr>
        <w:t>Unaffected:</w:t>
      </w:r>
      <w:r w:rsidRPr="007E5EBB">
        <w:rPr>
          <w:b/>
          <w:sz w:val="24"/>
          <w:szCs w:val="24"/>
        </w:rPr>
        <w:t xml:space="preserve"> </w:t>
      </w:r>
      <w:r w:rsidRPr="007E5EBB">
        <w:rPr>
          <w:sz w:val="24"/>
          <w:szCs w:val="24"/>
        </w:rPr>
        <w:t>Over 40, and no manifestation</w:t>
      </w:r>
      <w:r>
        <w:rPr>
          <w:sz w:val="24"/>
          <w:szCs w:val="24"/>
        </w:rPr>
        <w:t>.</w:t>
      </w:r>
      <w:r w:rsidRPr="007E5EBB">
        <w:rPr>
          <w:sz w:val="24"/>
          <w:szCs w:val="24"/>
        </w:rPr>
        <w:t xml:space="preserve"> </w:t>
      </w:r>
    </w:p>
    <w:p w14:paraId="3C28ACF4" w14:textId="58293DAB" w:rsidR="00B939B0" w:rsidRPr="00B939B0" w:rsidRDefault="00B939B0" w:rsidP="00B939B0">
      <w:pPr>
        <w:spacing w:after="0"/>
        <w:rPr>
          <w:sz w:val="24"/>
          <w:szCs w:val="24"/>
        </w:rPr>
      </w:pPr>
      <w:r w:rsidRPr="007E5EBB">
        <w:rPr>
          <w:sz w:val="24"/>
          <w:szCs w:val="24"/>
        </w:rPr>
        <w:t xml:space="preserve">Otherwise, family member should be considered </w:t>
      </w:r>
      <w:r w:rsidRPr="007E5EBB">
        <w:rPr>
          <w:sz w:val="24"/>
          <w:szCs w:val="24"/>
          <w:u w:val="single"/>
        </w:rPr>
        <w:t>unknown</w:t>
      </w:r>
      <w:r w:rsidRPr="007E5EBB">
        <w:rPr>
          <w:sz w:val="24"/>
          <w:szCs w:val="24"/>
        </w:rPr>
        <w:t xml:space="preserve"> and not included in the study.</w:t>
      </w:r>
    </w:p>
    <w:sectPr w:rsidR="00B939B0" w:rsidRPr="00B939B0">
      <w:footerReference w:type="even" r:id="rId7"/>
      <w:footerReference w:type="default" r:id="rId8"/>
      <w:foot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530B0" w14:textId="77777777" w:rsidR="008B4627" w:rsidRDefault="008B4627" w:rsidP="008B4627">
      <w:pPr>
        <w:spacing w:after="0" w:line="240" w:lineRule="auto"/>
      </w:pPr>
      <w:r>
        <w:separator/>
      </w:r>
    </w:p>
  </w:endnote>
  <w:endnote w:type="continuationSeparator" w:id="0">
    <w:p w14:paraId="582A97EA" w14:textId="77777777" w:rsidR="008B4627" w:rsidRDefault="008B4627" w:rsidP="008B4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3A293" w14:textId="057BC250" w:rsidR="008B4627" w:rsidRDefault="008B4627">
    <w:pPr>
      <w:pStyle w:val="Footer"/>
    </w:pPr>
    <w:r>
      <w:rPr>
        <w:noProof/>
      </w:rPr>
      <mc:AlternateContent>
        <mc:Choice Requires="wps">
          <w:drawing>
            <wp:anchor distT="0" distB="0" distL="0" distR="0" simplePos="0" relativeHeight="251659264" behindDoc="0" locked="0" layoutInCell="1" allowOverlap="1" wp14:anchorId="77DA18ED" wp14:editId="1FA9ECCC">
              <wp:simplePos x="635" y="635"/>
              <wp:positionH relativeFrom="page">
                <wp:align>left</wp:align>
              </wp:positionH>
              <wp:positionV relativeFrom="page">
                <wp:align>bottom</wp:align>
              </wp:positionV>
              <wp:extent cx="443865" cy="443865"/>
              <wp:effectExtent l="0" t="0" r="5080" b="0"/>
              <wp:wrapNone/>
              <wp:docPr id="2" name="Text Box 2" descr="Private Informa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5F2085" w14:textId="1F6F458A" w:rsidR="008B4627" w:rsidRPr="008B4627" w:rsidRDefault="008B4627" w:rsidP="008B4627">
                          <w:pPr>
                            <w:spacing w:after="0"/>
                            <w:rPr>
                              <w:rFonts w:ascii="Calibri" w:eastAsia="Calibri" w:hAnsi="Calibri" w:cs="Calibri"/>
                              <w:noProof/>
                              <w:color w:val="000000"/>
                              <w:sz w:val="20"/>
                              <w:szCs w:val="20"/>
                            </w:rPr>
                          </w:pPr>
                          <w:r w:rsidRPr="008B4627">
                            <w:rPr>
                              <w:rFonts w:ascii="Calibri" w:eastAsia="Calibri" w:hAnsi="Calibri" w:cs="Calibri"/>
                              <w:noProof/>
                              <w:color w:val="000000"/>
                              <w:sz w:val="20"/>
                              <w:szCs w:val="20"/>
                            </w:rPr>
                            <w:t>Private Information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7DA18ED" id="_x0000_t202" coordsize="21600,21600" o:spt="202" path="m,l,21600r21600,l21600,xe">
              <v:stroke joinstyle="miter"/>
              <v:path gradientshapeok="t" o:connecttype="rect"/>
            </v:shapetype>
            <v:shape id="Text Box 2" o:spid="_x0000_s1026" type="#_x0000_t202" alt="Private Information"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F5F2085" w14:textId="1F6F458A" w:rsidR="008B4627" w:rsidRPr="008B4627" w:rsidRDefault="008B4627" w:rsidP="008B4627">
                    <w:pPr>
                      <w:spacing w:after="0"/>
                      <w:rPr>
                        <w:rFonts w:ascii="Calibri" w:eastAsia="Calibri" w:hAnsi="Calibri" w:cs="Calibri"/>
                        <w:noProof/>
                        <w:color w:val="000000"/>
                        <w:sz w:val="20"/>
                        <w:szCs w:val="20"/>
                      </w:rPr>
                    </w:pPr>
                    <w:r w:rsidRPr="008B4627">
                      <w:rPr>
                        <w:rFonts w:ascii="Calibri" w:eastAsia="Calibri" w:hAnsi="Calibri" w:cs="Calibri"/>
                        <w:noProof/>
                        <w:color w:val="000000"/>
                        <w:sz w:val="20"/>
                        <w:szCs w:val="20"/>
                      </w:rPr>
                      <w:t>Private Information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F2720" w14:textId="493E4EFC" w:rsidR="008B4627" w:rsidRDefault="008B4627">
    <w:pPr>
      <w:pStyle w:val="Footer"/>
    </w:pPr>
    <w:r>
      <w:rPr>
        <w:noProof/>
      </w:rPr>
      <mc:AlternateContent>
        <mc:Choice Requires="wps">
          <w:drawing>
            <wp:anchor distT="0" distB="0" distL="0" distR="0" simplePos="0" relativeHeight="251660288" behindDoc="0" locked="0" layoutInCell="1" allowOverlap="1" wp14:anchorId="7668EC90" wp14:editId="7D9A59AD">
              <wp:simplePos x="914400" y="9429293"/>
              <wp:positionH relativeFrom="page">
                <wp:align>left</wp:align>
              </wp:positionH>
              <wp:positionV relativeFrom="page">
                <wp:align>bottom</wp:align>
              </wp:positionV>
              <wp:extent cx="443865" cy="443865"/>
              <wp:effectExtent l="0" t="0" r="5080" b="0"/>
              <wp:wrapNone/>
              <wp:docPr id="3" name="Text Box 3" descr="Private Informa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6DAB1F4" w14:textId="7EE9B2D5" w:rsidR="008B4627" w:rsidRPr="008B4627" w:rsidRDefault="008B4627" w:rsidP="008B4627">
                          <w:pPr>
                            <w:spacing w:after="0"/>
                            <w:rPr>
                              <w:rFonts w:ascii="Calibri" w:eastAsia="Calibri" w:hAnsi="Calibri" w:cs="Calibri"/>
                              <w:noProof/>
                              <w:color w:val="000000"/>
                              <w:sz w:val="20"/>
                              <w:szCs w:val="20"/>
                            </w:rPr>
                          </w:pPr>
                          <w:r w:rsidRPr="008B4627">
                            <w:rPr>
                              <w:rFonts w:ascii="Calibri" w:eastAsia="Calibri" w:hAnsi="Calibri" w:cs="Calibri"/>
                              <w:noProof/>
                              <w:color w:val="000000"/>
                              <w:sz w:val="20"/>
                              <w:szCs w:val="20"/>
                            </w:rPr>
                            <w:t>Private Information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68EC90" id="_x0000_t202" coordsize="21600,21600" o:spt="202" path="m,l,21600r21600,l21600,xe">
              <v:stroke joinstyle="miter"/>
              <v:path gradientshapeok="t" o:connecttype="rect"/>
            </v:shapetype>
            <v:shape id="Text Box 3" o:spid="_x0000_s1027" type="#_x0000_t202" alt="Private Information"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6DAB1F4" w14:textId="7EE9B2D5" w:rsidR="008B4627" w:rsidRPr="008B4627" w:rsidRDefault="008B4627" w:rsidP="008B4627">
                    <w:pPr>
                      <w:spacing w:after="0"/>
                      <w:rPr>
                        <w:rFonts w:ascii="Calibri" w:eastAsia="Calibri" w:hAnsi="Calibri" w:cs="Calibri"/>
                        <w:noProof/>
                        <w:color w:val="000000"/>
                        <w:sz w:val="20"/>
                        <w:szCs w:val="20"/>
                      </w:rPr>
                    </w:pPr>
                    <w:r w:rsidRPr="008B4627">
                      <w:rPr>
                        <w:rFonts w:ascii="Calibri" w:eastAsia="Calibri" w:hAnsi="Calibri" w:cs="Calibri"/>
                        <w:noProof/>
                        <w:color w:val="000000"/>
                        <w:sz w:val="20"/>
                        <w:szCs w:val="20"/>
                      </w:rPr>
                      <w:t>Private Information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A1209" w14:textId="1080467C" w:rsidR="008B4627" w:rsidRDefault="008B4627">
    <w:pPr>
      <w:pStyle w:val="Footer"/>
    </w:pPr>
    <w:r>
      <w:rPr>
        <w:noProof/>
      </w:rPr>
      <mc:AlternateContent>
        <mc:Choice Requires="wps">
          <w:drawing>
            <wp:anchor distT="0" distB="0" distL="0" distR="0" simplePos="0" relativeHeight="251658240" behindDoc="0" locked="0" layoutInCell="1" allowOverlap="1" wp14:anchorId="241CCB81" wp14:editId="42746084">
              <wp:simplePos x="635" y="635"/>
              <wp:positionH relativeFrom="page">
                <wp:align>left</wp:align>
              </wp:positionH>
              <wp:positionV relativeFrom="page">
                <wp:align>bottom</wp:align>
              </wp:positionV>
              <wp:extent cx="443865" cy="443865"/>
              <wp:effectExtent l="0" t="0" r="5080" b="0"/>
              <wp:wrapNone/>
              <wp:docPr id="1" name="Text Box 1" descr="Private Informa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3F3511" w14:textId="0CE3AB4A" w:rsidR="008B4627" w:rsidRPr="008B4627" w:rsidRDefault="008B4627" w:rsidP="008B4627">
                          <w:pPr>
                            <w:spacing w:after="0"/>
                            <w:rPr>
                              <w:rFonts w:ascii="Calibri" w:eastAsia="Calibri" w:hAnsi="Calibri" w:cs="Calibri"/>
                              <w:noProof/>
                              <w:color w:val="000000"/>
                              <w:sz w:val="20"/>
                              <w:szCs w:val="20"/>
                            </w:rPr>
                          </w:pPr>
                          <w:r w:rsidRPr="008B4627">
                            <w:rPr>
                              <w:rFonts w:ascii="Calibri" w:eastAsia="Calibri" w:hAnsi="Calibri" w:cs="Calibri"/>
                              <w:noProof/>
                              <w:color w:val="000000"/>
                              <w:sz w:val="20"/>
                              <w:szCs w:val="20"/>
                            </w:rPr>
                            <w:t>Private Information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41CCB81" id="_x0000_t202" coordsize="21600,21600" o:spt="202" path="m,l,21600r21600,l21600,xe">
              <v:stroke joinstyle="miter"/>
              <v:path gradientshapeok="t" o:connecttype="rect"/>
            </v:shapetype>
            <v:shape id="Text Box 1" o:spid="_x0000_s1028" type="#_x0000_t202" alt="Private Information"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D3F3511" w14:textId="0CE3AB4A" w:rsidR="008B4627" w:rsidRPr="008B4627" w:rsidRDefault="008B4627" w:rsidP="008B4627">
                    <w:pPr>
                      <w:spacing w:after="0"/>
                      <w:rPr>
                        <w:rFonts w:ascii="Calibri" w:eastAsia="Calibri" w:hAnsi="Calibri" w:cs="Calibri"/>
                        <w:noProof/>
                        <w:color w:val="000000"/>
                        <w:sz w:val="20"/>
                        <w:szCs w:val="20"/>
                      </w:rPr>
                    </w:pPr>
                    <w:r w:rsidRPr="008B4627">
                      <w:rPr>
                        <w:rFonts w:ascii="Calibri" w:eastAsia="Calibri" w:hAnsi="Calibri" w:cs="Calibri"/>
                        <w:noProof/>
                        <w:color w:val="000000"/>
                        <w:sz w:val="20"/>
                        <w:szCs w:val="20"/>
                      </w:rPr>
                      <w:t>Private Information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F8E63" w14:textId="77777777" w:rsidR="008B4627" w:rsidRDefault="008B4627" w:rsidP="008B4627">
      <w:pPr>
        <w:spacing w:after="0" w:line="240" w:lineRule="auto"/>
      </w:pPr>
      <w:r>
        <w:separator/>
      </w:r>
    </w:p>
  </w:footnote>
  <w:footnote w:type="continuationSeparator" w:id="0">
    <w:p w14:paraId="21119A6F" w14:textId="77777777" w:rsidR="008B4627" w:rsidRDefault="008B4627" w:rsidP="008B46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B0D24"/>
    <w:multiLevelType w:val="hybridMultilevel"/>
    <w:tmpl w:val="EFFC5480"/>
    <w:lvl w:ilvl="0" w:tplc="523C56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55730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627"/>
    <w:rsid w:val="00020A2D"/>
    <w:rsid w:val="004A3F21"/>
    <w:rsid w:val="00640F6E"/>
    <w:rsid w:val="008B4627"/>
    <w:rsid w:val="009D356C"/>
    <w:rsid w:val="00B93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6E410"/>
  <w15:chartTrackingRefBased/>
  <w15:docId w15:val="{6079660A-5E00-4D41-8ADE-5D115FA34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9B0"/>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B46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627"/>
  </w:style>
  <w:style w:type="paragraph" w:styleId="ListParagraph">
    <w:name w:val="List Paragraph"/>
    <w:basedOn w:val="Normal"/>
    <w:uiPriority w:val="34"/>
    <w:qFormat/>
    <w:rsid w:val="00B939B0"/>
    <w:pPr>
      <w:ind w:left="720"/>
      <w:contextualSpacing/>
    </w:pPr>
  </w:style>
  <w:style w:type="paragraph" w:styleId="NoSpacing">
    <w:name w:val="No Spacing"/>
    <w:uiPriority w:val="1"/>
    <w:qFormat/>
    <w:rsid w:val="00B939B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400</Words>
  <Characters>2282</Characters>
  <Application>Microsoft Office Word</Application>
  <DocSecurity>0</DocSecurity>
  <Lines>19</Lines>
  <Paragraphs>5</Paragraphs>
  <ScaleCrop>false</ScaleCrop>
  <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DeMille, Desiree</dc:creator>
  <cp:keywords/>
  <dc:description/>
  <cp:lastModifiedBy>DeMille, Desiree</cp:lastModifiedBy>
  <cp:revision>3</cp:revision>
  <dcterms:created xsi:type="dcterms:W3CDTF">2023-06-15T16:21:00Z</dcterms:created>
  <dcterms:modified xsi:type="dcterms:W3CDTF">2023-06-15T17:36:00Z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Private Information</vt:lpwstr>
  </property>
  <property fmtid="{D5CDD505-2E9C-101B-9397-08002B2CF9AE}" pid="5" name="MSIP_Label_7528a15d-fe30-4bc2-853f-da171899c8c3_Enabled">
    <vt:lpwstr>true</vt:lpwstr>
  </property>
  <property fmtid="{D5CDD505-2E9C-101B-9397-08002B2CF9AE}" pid="6" name="MSIP_Label_7528a15d-fe30-4bc2-853f-da171899c8c3_SetDate">
    <vt:lpwstr>2023-06-15T16:20:39Z</vt:lpwstr>
  </property>
  <property fmtid="{D5CDD505-2E9C-101B-9397-08002B2CF9AE}" pid="7" name="MSIP_Label_7528a15d-fe30-4bc2-853f-da171899c8c3_Method">
    <vt:lpwstr>Standard</vt:lpwstr>
  </property>
  <property fmtid="{D5CDD505-2E9C-101B-9397-08002B2CF9AE}" pid="8" name="MSIP_Label_7528a15d-fe30-4bc2-853f-da171899c8c3_Name">
    <vt:lpwstr>Private Data</vt:lpwstr>
  </property>
  <property fmtid="{D5CDD505-2E9C-101B-9397-08002B2CF9AE}" pid="9" name="MSIP_Label_7528a15d-fe30-4bc2-853f-da171899c8c3_SiteId">
    <vt:lpwstr>5bd0d628-d6ea-4086-954f-69792a5faa57</vt:lpwstr>
  </property>
  <property fmtid="{D5CDD505-2E9C-101B-9397-08002B2CF9AE}" pid="10" name="MSIP_Label_7528a15d-fe30-4bc2-853f-da171899c8c3_ActionId">
    <vt:lpwstr>fc9a6255-59a7-4530-a74c-8bbb49ca7c48</vt:lpwstr>
  </property>
  <property fmtid="{D5CDD505-2E9C-101B-9397-08002B2CF9AE}" pid="11" name="MSIP_Label_7528a15d-fe30-4bc2-853f-da171899c8c3_ContentBits">
    <vt:lpwstr>2</vt:lpwstr>
  </property>
</Properties>
</file>