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4C41B" w14:textId="4C80C0FA" w:rsidR="00E532AC" w:rsidRDefault="00000000">
      <w:pPr>
        <w:rPr>
          <w:b/>
        </w:rPr>
      </w:pPr>
      <w:r>
        <w:rPr>
          <w:b/>
        </w:rPr>
        <w:t>PS2</w:t>
      </w:r>
      <w:r w:rsidR="00135398">
        <w:rPr>
          <w:b/>
        </w:rPr>
        <w:t xml:space="preserve"> &amp; PM6</w:t>
      </w:r>
      <w:r>
        <w:rPr>
          <w:b/>
        </w:rPr>
        <w:t>:</w:t>
      </w:r>
    </w:p>
    <w:p w14:paraId="4DCB24E4" w14:textId="77777777" w:rsidR="00CF594F" w:rsidRDefault="00CF594F">
      <w:pPr>
        <w:rPr>
          <w:b/>
        </w:rPr>
      </w:pPr>
    </w:p>
    <w:p w14:paraId="5E4DFC28" w14:textId="78BCAC25" w:rsidR="00CF594F" w:rsidRPr="00CF594F" w:rsidRDefault="00CF594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E2FD5">
        <w:rPr>
          <w:rFonts w:ascii="Times New Roman" w:eastAsia="Times New Roman" w:hAnsi="Times New Roman" w:cs="Times New Roman"/>
          <w:b/>
          <w:bCs/>
          <w:sz w:val="20"/>
          <w:szCs w:val="20"/>
        </w:rPr>
        <w:t>Proband counting: Please refer to PP4 document for diagnostic criteria</w:t>
      </w:r>
    </w:p>
    <w:p w14:paraId="1E1423EA" w14:textId="77777777" w:rsidR="00E532AC" w:rsidRDefault="00E532AC"/>
    <w:tbl>
      <w:tblPr>
        <w:tblStyle w:val="a"/>
        <w:tblW w:w="95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050"/>
        <w:gridCol w:w="2610"/>
        <w:gridCol w:w="2910"/>
      </w:tblGrid>
      <w:tr w:rsidR="00E532AC" w14:paraId="68E24AC6" w14:textId="77777777">
        <w:trPr>
          <w:trHeight w:val="555"/>
        </w:trPr>
        <w:tc>
          <w:tcPr>
            <w:tcW w:w="40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B29543" w14:textId="77777777" w:rsidR="00E532AC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Phenotypic consistency</w:t>
            </w:r>
          </w:p>
        </w:tc>
        <w:tc>
          <w:tcPr>
            <w:tcW w:w="552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F14E93B" w14:textId="77777777" w:rsidR="00E532AC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Points per Proband</w:t>
            </w:r>
          </w:p>
          <w:p w14:paraId="5044579F" w14:textId="77777777" w:rsidR="00E532AC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E532AC" w14:paraId="264503C4" w14:textId="77777777">
        <w:trPr>
          <w:trHeight w:val="1074"/>
        </w:trPr>
        <w:tc>
          <w:tcPr>
            <w:tcW w:w="40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C5B69DE" w14:textId="77777777" w:rsidR="00E532AC" w:rsidRDefault="00E532AC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61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9F93E9D" w14:textId="77777777" w:rsidR="00E532AC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 novo with confirmed parental relationships</w:t>
            </w:r>
          </w:p>
          <w:p w14:paraId="19E40C7E" w14:textId="77777777" w:rsidR="00E532AC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1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CBFF020" w14:textId="77777777" w:rsidR="00E532AC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 novo with unconfirmed parental relationships</w:t>
            </w:r>
          </w:p>
          <w:p w14:paraId="4A6BD7DD" w14:textId="77777777" w:rsidR="00E532AC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E532AC" w14:paraId="4E9E5541" w14:textId="77777777">
        <w:trPr>
          <w:trHeight w:val="720"/>
        </w:trPr>
        <w:tc>
          <w:tcPr>
            <w:tcW w:w="40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0AE3ECF" w14:textId="77777777" w:rsidR="00E532A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“Definite” diagnosis of Alexander Disease per VCEP criteria</w:t>
            </w:r>
          </w:p>
        </w:tc>
        <w:tc>
          <w:tcPr>
            <w:tcW w:w="261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7AC6569" w14:textId="77777777" w:rsidR="00E532A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91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BBB61A9" w14:textId="77777777" w:rsidR="00E532A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532AC" w14:paraId="51FB9E5D" w14:textId="77777777">
        <w:trPr>
          <w:trHeight w:val="705"/>
        </w:trPr>
        <w:tc>
          <w:tcPr>
            <w:tcW w:w="40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B3975AE" w14:textId="77777777" w:rsidR="00E532A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“Probable” diagnosis of Alexander Disease per VCEP criteria</w:t>
            </w:r>
          </w:p>
        </w:tc>
        <w:tc>
          <w:tcPr>
            <w:tcW w:w="261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6647099" w14:textId="77777777" w:rsidR="00E532A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1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64075FF" w14:textId="77777777" w:rsidR="00E532A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532AC" w14:paraId="01B82EDD" w14:textId="77777777">
        <w:trPr>
          <w:trHeight w:val="847"/>
        </w:trPr>
        <w:tc>
          <w:tcPr>
            <w:tcW w:w="40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CF730C0" w14:textId="77777777" w:rsidR="00E532A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“Consistent” diagnosis of Alexander Disease per VCEP criteria</w:t>
            </w:r>
          </w:p>
          <w:p w14:paraId="7215FCDB" w14:textId="77777777" w:rsidR="00E532A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61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09245DC" w14:textId="77777777" w:rsidR="00E532A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1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68EDCC5" w14:textId="77777777" w:rsidR="00E532A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</w:t>
            </w:r>
          </w:p>
        </w:tc>
      </w:tr>
      <w:tr w:rsidR="00E532AC" w14:paraId="3532A751" w14:textId="77777777">
        <w:trPr>
          <w:trHeight w:val="555"/>
        </w:trPr>
        <w:tc>
          <w:tcPr>
            <w:tcW w:w="40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1EA77BB" w14:textId="77777777" w:rsidR="00E532A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Phenotype not consistent with gene</w:t>
            </w:r>
          </w:p>
        </w:tc>
        <w:tc>
          <w:tcPr>
            <w:tcW w:w="261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AFFF130" w14:textId="77777777" w:rsidR="00E532A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91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7D4AE61" w14:textId="77777777" w:rsidR="00E532A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14:paraId="73498D70" w14:textId="77777777" w:rsidR="00E532AC" w:rsidRDefault="00E532AC"/>
    <w:p w14:paraId="67C3F8AC" w14:textId="77777777" w:rsidR="00E532AC" w:rsidRDefault="00000000">
      <w:r>
        <w:rPr>
          <w:noProof/>
        </w:rPr>
        <w:drawing>
          <wp:inline distT="114300" distB="114300" distL="114300" distR="114300" wp14:anchorId="2F6A6D24" wp14:editId="20E9CBDB">
            <wp:extent cx="5943600" cy="9906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90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427C968" w14:textId="77777777" w:rsidR="00E532AC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F462C15" w14:textId="77777777" w:rsidR="00CF681B" w:rsidRDefault="00CF681B">
      <w:pPr>
        <w:spacing w:line="259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E123895" w14:textId="4A10BD97" w:rsidR="00E532AC" w:rsidRDefault="00000000">
      <w:pPr>
        <w:spacing w:line="259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Citations</w:t>
      </w:r>
    </w:p>
    <w:p w14:paraId="5C118D89" w14:textId="186981E6" w:rsidR="00E532AC" w:rsidRDefault="00000000">
      <w:pPr>
        <w:numPr>
          <w:ilvl w:val="0"/>
          <w:numId w:val="3"/>
        </w:numPr>
        <w:spacing w:line="259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Yoshida et al 2017</w:t>
      </w:r>
      <w:r w:rsidR="00D45CA8">
        <w:rPr>
          <w:rFonts w:ascii="Times New Roman" w:eastAsia="Times New Roman" w:hAnsi="Times New Roman" w:cs="Times New Roman"/>
          <w:sz w:val="20"/>
          <w:szCs w:val="20"/>
        </w:rPr>
        <w:t xml:space="preserve"> PIMD: 23903069</w:t>
      </w:r>
    </w:p>
    <w:p w14:paraId="286F9FB5" w14:textId="18F3857F" w:rsidR="00E532AC" w:rsidRDefault="00000000">
      <w:pPr>
        <w:numPr>
          <w:ilvl w:val="0"/>
          <w:numId w:val="3"/>
        </w:numPr>
        <w:spacing w:line="259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Prust et al 2011</w:t>
      </w:r>
      <w:r w:rsidR="00D45CA8">
        <w:rPr>
          <w:rFonts w:ascii="Times New Roman" w:eastAsia="Times New Roman" w:hAnsi="Times New Roman" w:cs="Times New Roman"/>
          <w:sz w:val="20"/>
          <w:szCs w:val="20"/>
        </w:rPr>
        <w:t xml:space="preserve"> PIMD: 21917775</w:t>
      </w:r>
      <w:r>
        <w:rPr>
          <w:rFonts w:ascii="Times New Roman" w:eastAsia="Times New Roman" w:hAnsi="Times New Roman" w:cs="Times New Roman"/>
          <w:sz w:val="20"/>
          <w:szCs w:val="20"/>
        </w:rPr>
        <w:t>, Li 2005</w:t>
      </w:r>
      <w:r w:rsidR="00D45CA8">
        <w:rPr>
          <w:rFonts w:ascii="Times New Roman" w:eastAsia="Times New Roman" w:hAnsi="Times New Roman" w:cs="Times New Roman"/>
          <w:sz w:val="20"/>
          <w:szCs w:val="20"/>
        </w:rPr>
        <w:t xml:space="preserve"> PIMD:15732097</w:t>
      </w:r>
    </w:p>
    <w:p w14:paraId="5D4E9B8C" w14:textId="77777777" w:rsidR="00E532AC" w:rsidRDefault="00000000">
      <w:pPr>
        <w:numPr>
          <w:ilvl w:val="0"/>
          <w:numId w:val="3"/>
        </w:numPr>
        <w:spacing w:line="259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Unpublished GLIA-CTN biorepository data</w:t>
      </w:r>
    </w:p>
    <w:p w14:paraId="2BB23DED" w14:textId="77777777" w:rsidR="00E532AC" w:rsidRDefault="00000000">
      <w:pPr>
        <w:numPr>
          <w:ilvl w:val="0"/>
          <w:numId w:val="3"/>
        </w:numPr>
        <w:spacing w:line="259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Test variants from these following publications were used to test the point system:</w:t>
      </w:r>
    </w:p>
    <w:p w14:paraId="6FFE6E6F" w14:textId="4DEE142E" w:rsidR="00E532AC" w:rsidRDefault="00000000">
      <w:pPr>
        <w:numPr>
          <w:ilvl w:val="1"/>
          <w:numId w:val="3"/>
        </w:numPr>
        <w:spacing w:line="259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Li 2005 (infantile, late onset)</w:t>
      </w:r>
      <w:r w:rsidR="00D45CA8">
        <w:rPr>
          <w:rFonts w:ascii="Times New Roman" w:eastAsia="Times New Roman" w:hAnsi="Times New Roman" w:cs="Times New Roman"/>
          <w:sz w:val="20"/>
          <w:szCs w:val="20"/>
        </w:rPr>
        <w:t xml:space="preserve"> PIMD:15732097</w:t>
      </w:r>
    </w:p>
    <w:p w14:paraId="0EDF8127" w14:textId="278791AC" w:rsidR="00E532AC" w:rsidRDefault="00000000">
      <w:pPr>
        <w:numPr>
          <w:ilvl w:val="1"/>
          <w:numId w:val="3"/>
        </w:numPr>
        <w:spacing w:line="259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Prust 2011 (185 reported) </w:t>
      </w:r>
      <w:r w:rsidR="00D45CA8">
        <w:rPr>
          <w:rFonts w:ascii="Times New Roman" w:eastAsia="Times New Roman" w:hAnsi="Times New Roman" w:cs="Times New Roman"/>
          <w:sz w:val="20"/>
          <w:szCs w:val="20"/>
        </w:rPr>
        <w:t>PIMD: 21917775</w:t>
      </w:r>
    </w:p>
    <w:sectPr w:rsidR="00E532AC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C1F0C"/>
    <w:multiLevelType w:val="multilevel"/>
    <w:tmpl w:val="B2BED6D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1" w15:restartNumberingAfterBreak="0">
    <w:nsid w:val="13D9265B"/>
    <w:multiLevelType w:val="multilevel"/>
    <w:tmpl w:val="511C212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2" w15:restartNumberingAfterBreak="0">
    <w:nsid w:val="19824B6F"/>
    <w:multiLevelType w:val="multilevel"/>
    <w:tmpl w:val="6C96553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3" w15:restartNumberingAfterBreak="0">
    <w:nsid w:val="2ACC11D2"/>
    <w:multiLevelType w:val="multilevel"/>
    <w:tmpl w:val="AB6036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CB35DB4"/>
    <w:multiLevelType w:val="multilevel"/>
    <w:tmpl w:val="35DCC6C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5" w15:restartNumberingAfterBreak="0">
    <w:nsid w:val="3E6C7E1F"/>
    <w:multiLevelType w:val="multilevel"/>
    <w:tmpl w:val="716E169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6" w15:restartNumberingAfterBreak="0">
    <w:nsid w:val="5B1635DB"/>
    <w:multiLevelType w:val="multilevel"/>
    <w:tmpl w:val="BFB651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10064BA"/>
    <w:multiLevelType w:val="multilevel"/>
    <w:tmpl w:val="E182F9B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 w16cid:durableId="236549628">
    <w:abstractNumId w:val="4"/>
  </w:num>
  <w:num w:numId="2" w16cid:durableId="840436183">
    <w:abstractNumId w:val="5"/>
  </w:num>
  <w:num w:numId="3" w16cid:durableId="270864985">
    <w:abstractNumId w:val="3"/>
  </w:num>
  <w:num w:numId="4" w16cid:durableId="1052264128">
    <w:abstractNumId w:val="1"/>
  </w:num>
  <w:num w:numId="5" w16cid:durableId="1627351932">
    <w:abstractNumId w:val="6"/>
  </w:num>
  <w:num w:numId="6" w16cid:durableId="219370675">
    <w:abstractNumId w:val="7"/>
  </w:num>
  <w:num w:numId="7" w16cid:durableId="2136898801">
    <w:abstractNumId w:val="2"/>
  </w:num>
  <w:num w:numId="8" w16cid:durableId="36399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2AC"/>
    <w:rsid w:val="00057D95"/>
    <w:rsid w:val="00135398"/>
    <w:rsid w:val="001404B6"/>
    <w:rsid w:val="00216965"/>
    <w:rsid w:val="0034087A"/>
    <w:rsid w:val="003D33CB"/>
    <w:rsid w:val="0045151B"/>
    <w:rsid w:val="005453A3"/>
    <w:rsid w:val="0061520D"/>
    <w:rsid w:val="0074284D"/>
    <w:rsid w:val="0081410D"/>
    <w:rsid w:val="008B55FD"/>
    <w:rsid w:val="009D3214"/>
    <w:rsid w:val="009E5D92"/>
    <w:rsid w:val="00A61978"/>
    <w:rsid w:val="00AC753A"/>
    <w:rsid w:val="00AE5FC9"/>
    <w:rsid w:val="00B15ACA"/>
    <w:rsid w:val="00BD1D0D"/>
    <w:rsid w:val="00CF594F"/>
    <w:rsid w:val="00CF681B"/>
    <w:rsid w:val="00D45613"/>
    <w:rsid w:val="00D45CA8"/>
    <w:rsid w:val="00D9707A"/>
    <w:rsid w:val="00E035BF"/>
    <w:rsid w:val="00E532AC"/>
    <w:rsid w:val="00F44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209A8C"/>
  <w15:docId w15:val="{69D767FD-20C7-C64C-800D-2BD23A0CB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Dominguez Gonzalez, Carlos</cp:lastModifiedBy>
  <cp:revision>2</cp:revision>
  <dcterms:created xsi:type="dcterms:W3CDTF">2025-10-20T19:08:00Z</dcterms:created>
  <dcterms:modified xsi:type="dcterms:W3CDTF">2025-10-20T19:08:00Z</dcterms:modified>
</cp:coreProperties>
</file>