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BAC08" w14:textId="77777777" w:rsidR="00203CD2" w:rsidRPr="0071792C" w:rsidRDefault="00203CD2" w:rsidP="00203CD2">
      <w:pPr>
        <w:rPr>
          <w:b/>
          <w:bCs/>
          <w:sz w:val="28"/>
          <w:szCs w:val="28"/>
        </w:rPr>
      </w:pPr>
    </w:p>
    <w:p w14:paraId="5E3C7CFB" w14:textId="61BD5AAD" w:rsidR="0071792C" w:rsidRPr="00547B88" w:rsidRDefault="00203CD2" w:rsidP="00547B88">
      <w:pPr>
        <w:rPr>
          <w:b/>
          <w:bCs/>
          <w:sz w:val="28"/>
          <w:szCs w:val="28"/>
        </w:rPr>
      </w:pPr>
      <w:r w:rsidRPr="0071792C">
        <w:rPr>
          <w:b/>
          <w:bCs/>
          <w:sz w:val="28"/>
          <w:szCs w:val="28"/>
        </w:rPr>
        <w:t>Criteria &amp; Strength Specifications</w:t>
      </w:r>
      <w:r w:rsidR="0071792C" w:rsidRPr="0071792C">
        <w:rPr>
          <w:b/>
          <w:bCs/>
          <w:sz w:val="28"/>
          <w:szCs w:val="28"/>
        </w:rPr>
        <w:t xml:space="preserve"> for RMRP</w:t>
      </w:r>
    </w:p>
    <w:p w14:paraId="62A5DCB7" w14:textId="77777777" w:rsidR="00203CD2" w:rsidRPr="0071792C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1792C">
        <w:rPr>
          <w:b/>
          <w:bCs/>
        </w:rPr>
        <w:t>PS3</w:t>
      </w:r>
    </w:p>
    <w:p w14:paraId="10113DF0" w14:textId="77777777" w:rsidR="00203CD2" w:rsidRPr="0071792C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1792C">
        <w:rPr>
          <w:b/>
          <w:bCs/>
        </w:rPr>
        <w:t>Original ACMG Summary</w:t>
      </w:r>
    </w:p>
    <w:p w14:paraId="0081D16B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Well-established in vitro or in vivo functional studies supportive of a damaging effect on the gene or gene product.</w:t>
      </w:r>
    </w:p>
    <w:p w14:paraId="0F4BB650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Note: Functional studies that have been validated and shown to be reproducible and robust in a clinical diagnostic laboratory setting are considered the most well-established.</w:t>
      </w:r>
    </w:p>
    <w:p w14:paraId="669DD6A1" w14:textId="77777777" w:rsidR="00203CD2" w:rsidRPr="0071792C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1792C">
        <w:rPr>
          <w:b/>
          <w:bCs/>
        </w:rPr>
        <w:t>VCEP Specifications:</w:t>
      </w:r>
    </w:p>
    <w:p w14:paraId="3B9B8187" w14:textId="258BF6AD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PS3 may be applied when RT/PCR or RNA evidence indicates variant results in absent expression.</w:t>
      </w:r>
    </w:p>
    <w:p w14:paraId="57C4F879" w14:textId="77777777" w:rsidR="00203CD2" w:rsidRPr="0071792C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1792C">
        <w:rPr>
          <w:b/>
          <w:bCs/>
        </w:rPr>
        <w:t>Strong</w:t>
      </w:r>
    </w:p>
    <w:p w14:paraId="6FDCB7B2" w14:textId="601876A1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PS3 may potentially be applied at the default strength level of strong for evidence from an animal model expressing the variant of interest and recapitulating the Cartilage-hair hypoplasia (CHH) phenotype. Animal models will be reviewed on a case-by-case basis by </w:t>
      </w:r>
      <w:proofErr w:type="gramStart"/>
      <w:r>
        <w:t>the VCEP</w:t>
      </w:r>
      <w:proofErr w:type="gramEnd"/>
      <w:r>
        <w:t xml:space="preserve"> to determine the appropriate strength level.</w:t>
      </w:r>
    </w:p>
    <w:p w14:paraId="29F9BEAE" w14:textId="00372F26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792C">
        <w:rPr>
          <w:b/>
          <w:bCs/>
        </w:rPr>
        <w:t>Modification Type:</w:t>
      </w:r>
      <w:r w:rsidR="00E45024">
        <w:t xml:space="preserve"> </w:t>
      </w:r>
      <w:r>
        <w:t>Gene-specific</w:t>
      </w:r>
    </w:p>
    <w:p w14:paraId="6D14DAFF" w14:textId="77777777" w:rsidR="00203CD2" w:rsidRPr="0071792C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1792C">
        <w:rPr>
          <w:b/>
          <w:bCs/>
        </w:rPr>
        <w:t>Supporting</w:t>
      </w:r>
    </w:p>
    <w:p w14:paraId="45D97070" w14:textId="278D3F94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PS3_Supporting can be applied based on an abnormal result in at least one approved in vitro assay.</w:t>
      </w:r>
    </w:p>
    <w:p w14:paraId="4C569FD3" w14:textId="3D34A43B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Approved assay instances:</w:t>
      </w:r>
    </w:p>
    <w:p w14:paraId="323E3A85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Endonucleolytic</w:t>
      </w:r>
      <w:proofErr w:type="spellEnd"/>
      <w:r>
        <w:t xml:space="preserve"> cleavage activity assay (mRNA cleavage activity smaller than 0.9) </w:t>
      </w:r>
    </w:p>
    <w:p w14:paraId="1857C421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Thiel et al., 2005 (PMID: 16252239)</w:t>
      </w:r>
    </w:p>
    <w:p w14:paraId="7A0BE839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Thiel et al., 2007 (PMID: </w:t>
      </w:r>
      <w:proofErr w:type="gramStart"/>
      <w:r>
        <w:t>17701897))</w:t>
      </w:r>
      <w:proofErr w:type="gramEnd"/>
      <w:r>
        <w:t xml:space="preserve"> OR</w:t>
      </w:r>
    </w:p>
    <w:p w14:paraId="35D8C26D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Luciferase reporter assay </w:t>
      </w:r>
    </w:p>
    <w:p w14:paraId="57A7A2D8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Hermanns et al., 2005 (PMID: 16254002)) (luciferase activity higher than 7)</w:t>
      </w:r>
    </w:p>
    <w:p w14:paraId="7B7D4A23" w14:textId="77777777" w:rsidR="003F30AA" w:rsidRPr="003F30AA" w:rsidRDefault="003F30AA" w:rsidP="003F3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trike/>
          <w:color w:val="EE0000"/>
          <w:kern w:val="0"/>
          <w14:ligatures w14:val="none"/>
        </w:rPr>
      </w:pPr>
      <w:r w:rsidRPr="003F30AA">
        <w:rPr>
          <w:strike/>
          <w:color w:val="EE0000"/>
          <w:kern w:val="0"/>
          <w:highlight w:val="yellow"/>
          <w14:ligatures w14:val="none"/>
        </w:rPr>
        <w:t>At least one previously observed proband with the expressed RMRP variant meeting PP4 is required to apply PS3 at any strength.</w:t>
      </w:r>
    </w:p>
    <w:p w14:paraId="74C9C451" w14:textId="77777777" w:rsidR="003F30AA" w:rsidRDefault="003F30AA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2EBDF6F" w14:textId="32196FFA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792C">
        <w:rPr>
          <w:b/>
          <w:bCs/>
        </w:rPr>
        <w:lastRenderedPageBreak/>
        <w:t>Modification Type:</w:t>
      </w:r>
      <w:r w:rsidR="00E45024">
        <w:t xml:space="preserve"> </w:t>
      </w:r>
      <w:r>
        <w:t>Disease-</w:t>
      </w:r>
      <w:proofErr w:type="spellStart"/>
      <w:proofErr w:type="gramStart"/>
      <w:r>
        <w:t>specific,Strength</w:t>
      </w:r>
      <w:proofErr w:type="spellEnd"/>
      <w:proofErr w:type="gramEnd"/>
    </w:p>
    <w:p w14:paraId="39DFBC9C" w14:textId="77777777" w:rsidR="00E45024" w:rsidRDefault="00E45024" w:rsidP="00203CD2"/>
    <w:p w14:paraId="763494CF" w14:textId="77777777" w:rsidR="00203CD2" w:rsidRPr="00E45024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45024">
        <w:rPr>
          <w:b/>
          <w:bCs/>
        </w:rPr>
        <w:t>PP4</w:t>
      </w:r>
    </w:p>
    <w:p w14:paraId="5A3DC0EF" w14:textId="77777777" w:rsidR="00203CD2" w:rsidRPr="00E45024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45024">
        <w:rPr>
          <w:b/>
          <w:bCs/>
        </w:rPr>
        <w:t>Original ACMG Summary</w:t>
      </w:r>
    </w:p>
    <w:p w14:paraId="0E1F74DB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Patient’s phenotype or family history is highly specific for a disease with a single genetic etiology.</w:t>
      </w:r>
    </w:p>
    <w:p w14:paraId="67D2BBD7" w14:textId="77777777" w:rsidR="00203CD2" w:rsidRPr="00E45024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45024">
        <w:rPr>
          <w:b/>
          <w:bCs/>
        </w:rPr>
        <w:t>VCEP Specifications:</w:t>
      </w:r>
    </w:p>
    <w:p w14:paraId="4AC7BC7F" w14:textId="7D805019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PP4 applicability and strength is determined by the total points accumulated by a single affected individual according to the list below and the following total point ranges:</w:t>
      </w:r>
    </w:p>
    <w:p w14:paraId="22A617AA" w14:textId="03ED67BD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&lt;1 point: PP4 not met</w:t>
      </w:r>
    </w:p>
    <w:p w14:paraId="23C800A3" w14:textId="66B68A88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1-&lt;2 points: PP4</w:t>
      </w:r>
    </w:p>
    <w:p w14:paraId="3CF59ABF" w14:textId="494B3ED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≥2 points: PP4_Moderate</w:t>
      </w:r>
    </w:p>
    <w:p w14:paraId="34FAF4E2" w14:textId="466FC7A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Diagnostic criteria for SCID/Leaky SCID/Omenn syndrome met</w:t>
      </w:r>
      <w:proofErr w:type="gramStart"/>
      <w:r>
        <w:t>1  1</w:t>
      </w:r>
      <w:proofErr w:type="gramEnd"/>
      <w:r>
        <w:t>pt</w:t>
      </w:r>
    </w:p>
    <w:p w14:paraId="54DA45B9" w14:textId="49EA8EA9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SCID gene panel or exome/genome sequencing conducted (only applicable if genetic testing did not provide an alternative genetic explanation for SCID/Leaky SCID/Omenn syndrome phenotype) 0.5pt</w:t>
      </w:r>
    </w:p>
    <w:p w14:paraId="3F31238C" w14:textId="555F73CE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Family history of SCID 0.5pt</w:t>
      </w:r>
    </w:p>
    <w:p w14:paraId="7D15E68A" w14:textId="78AE64D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Family history of CHH 1pt</w:t>
      </w:r>
    </w:p>
    <w:p w14:paraId="732EE9B5" w14:textId="1DC3B974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Metaphyseal dysplasia (disproportionate short stature + radiographic evidence) 1pt</w:t>
      </w:r>
    </w:p>
    <w:p w14:paraId="554467D1" w14:textId="7D32B7D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Skeletal dysplasia gene panel or WES/WGS conducted with no alternative genetic diagnosis 1pt                          </w:t>
      </w:r>
    </w:p>
    <w:p w14:paraId="571DAEEE" w14:textId="2478E5AE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Hypotrichosis 0.5 pt</w:t>
      </w:r>
    </w:p>
    <w:p w14:paraId="53B1AF83" w14:textId="743EB37E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Macrocytic, hypoplastic anemia 0.25pt</w:t>
      </w:r>
    </w:p>
    <w:p w14:paraId="3DA50659" w14:textId="4D101642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Hirschsprung disease or congenital megacolon 0.25pt</w:t>
      </w:r>
    </w:p>
    <w:p w14:paraId="62CBA474" w14:textId="513D3AC9" w:rsidR="00E063A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T-cell lymphopenia* (see notes) 0.5 pt</w:t>
      </w:r>
    </w:p>
    <w:p w14:paraId="7EB7A87B" w14:textId="21F17B12" w:rsidR="00E043E2" w:rsidRPr="00E043E2" w:rsidRDefault="00E043E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547B88">
        <w:rPr>
          <w:rFonts w:ascii="Arial" w:hAnsi="Arial" w:cs="Arial"/>
          <w:color w:val="EE0000"/>
          <w:sz w:val="22"/>
          <w:szCs w:val="22"/>
          <w:highlight w:val="yellow"/>
        </w:rPr>
        <w:t>3-fold or more reduction of mutant RMRP RNA (or cDNA) expression in peripheral blood mononuclear cells 2 pts.</w:t>
      </w:r>
    </w:p>
    <w:p w14:paraId="2D007BAD" w14:textId="755FBC16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A2331">
        <w:rPr>
          <w:vertAlign w:val="superscript"/>
        </w:rPr>
        <w:t>1</w:t>
      </w:r>
      <w:r>
        <w:t xml:space="preserve">The diagnostic criteria should follow the PIDTC 2022 specification, summarized here. </w:t>
      </w:r>
    </w:p>
    <w:p w14:paraId="2F1B6F40" w14:textId="582A99EB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 xml:space="preserve">*Notes: </w:t>
      </w:r>
    </w:p>
    <w:p w14:paraId="4A87A538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If maternal T cells are present, the T lymphocyte profile is still considered to be T- (autologous T cells are absent).</w:t>
      </w:r>
    </w:p>
    <w:p w14:paraId="50DA2D4F" w14:textId="77777777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Allocate 0.25 points for T-cell lymphopenia only in cases where the SCID diagnostic criteria are not applied. It is important to note that if the SCID diagnostic criteria were applied, the points for the T-B+NK+ lymphocyte subset profile cannot be considered.</w:t>
      </w:r>
    </w:p>
    <w:p w14:paraId="5D0912FA" w14:textId="77777777" w:rsidR="00203CD2" w:rsidRPr="00E45024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45024">
        <w:rPr>
          <w:b/>
          <w:bCs/>
        </w:rPr>
        <w:t>Moderate</w:t>
      </w:r>
    </w:p>
    <w:p w14:paraId="24960A73" w14:textId="0E907D7B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 patient score of ≥2 points (see instructions below).</w:t>
      </w:r>
    </w:p>
    <w:p w14:paraId="60F59EDB" w14:textId="39586110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45024">
        <w:rPr>
          <w:b/>
          <w:bCs/>
        </w:rPr>
        <w:t>Modification Type:</w:t>
      </w:r>
      <w:r>
        <w:t xml:space="preserve"> Disease-</w:t>
      </w:r>
      <w:proofErr w:type="spellStart"/>
      <w:proofErr w:type="gramStart"/>
      <w:r>
        <w:t>specific,Gene</w:t>
      </w:r>
      <w:proofErr w:type="spellEnd"/>
      <w:proofErr w:type="gramEnd"/>
      <w:r>
        <w:t>-</w:t>
      </w:r>
      <w:proofErr w:type="spellStart"/>
      <w:proofErr w:type="gramStart"/>
      <w:r>
        <w:t>specific,Strength</w:t>
      </w:r>
      <w:proofErr w:type="spellEnd"/>
      <w:proofErr w:type="gramEnd"/>
    </w:p>
    <w:p w14:paraId="49DC0FF9" w14:textId="77777777" w:rsidR="00203CD2" w:rsidRPr="00E45024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45024">
        <w:rPr>
          <w:b/>
          <w:bCs/>
        </w:rPr>
        <w:t>Supporting</w:t>
      </w:r>
    </w:p>
    <w:p w14:paraId="1656A80A" w14:textId="3E59455B" w:rsidR="00203CD2" w:rsidRDefault="00203CD2" w:rsidP="00E450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 patient score of 1-&lt;2 points (see instructions below).</w:t>
      </w:r>
    </w:p>
    <w:p w14:paraId="0F84DF2C" w14:textId="39651A28" w:rsidR="00203CD2" w:rsidRDefault="00203CD2" w:rsidP="00547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45024">
        <w:rPr>
          <w:b/>
          <w:bCs/>
        </w:rPr>
        <w:t>Modification Type:</w:t>
      </w:r>
      <w:r>
        <w:t xml:space="preserve"> Disease-</w:t>
      </w:r>
      <w:proofErr w:type="spellStart"/>
      <w:proofErr w:type="gramStart"/>
      <w:r>
        <w:t>specific,Gene</w:t>
      </w:r>
      <w:proofErr w:type="spellEnd"/>
      <w:proofErr w:type="gramEnd"/>
      <w:r>
        <w:t>-specific</w:t>
      </w:r>
    </w:p>
    <w:sectPr w:rsidR="00203C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F0D10"/>
    <w:multiLevelType w:val="multilevel"/>
    <w:tmpl w:val="81B0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522CE"/>
    <w:multiLevelType w:val="multilevel"/>
    <w:tmpl w:val="C62C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731081"/>
    <w:multiLevelType w:val="multilevel"/>
    <w:tmpl w:val="B7C4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96576E"/>
    <w:multiLevelType w:val="multilevel"/>
    <w:tmpl w:val="ABC8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3F45D2"/>
    <w:multiLevelType w:val="multilevel"/>
    <w:tmpl w:val="9F481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8E2920"/>
    <w:multiLevelType w:val="multilevel"/>
    <w:tmpl w:val="DC8C6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3E3C6F"/>
    <w:multiLevelType w:val="multilevel"/>
    <w:tmpl w:val="6EA89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550E28"/>
    <w:multiLevelType w:val="multilevel"/>
    <w:tmpl w:val="7222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1E5600"/>
    <w:multiLevelType w:val="multilevel"/>
    <w:tmpl w:val="0F84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E00632"/>
    <w:multiLevelType w:val="multilevel"/>
    <w:tmpl w:val="AB92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942800"/>
    <w:multiLevelType w:val="multilevel"/>
    <w:tmpl w:val="6D62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202305">
    <w:abstractNumId w:val="9"/>
  </w:num>
  <w:num w:numId="2" w16cid:durableId="1186167012">
    <w:abstractNumId w:val="1"/>
  </w:num>
  <w:num w:numId="3" w16cid:durableId="365953323">
    <w:abstractNumId w:val="0"/>
  </w:num>
  <w:num w:numId="4" w16cid:durableId="59981328">
    <w:abstractNumId w:val="10"/>
  </w:num>
  <w:num w:numId="5" w16cid:durableId="750783580">
    <w:abstractNumId w:val="2"/>
  </w:num>
  <w:num w:numId="6" w16cid:durableId="1310134464">
    <w:abstractNumId w:val="7"/>
  </w:num>
  <w:num w:numId="7" w16cid:durableId="205457383">
    <w:abstractNumId w:val="3"/>
  </w:num>
  <w:num w:numId="8" w16cid:durableId="1499808594">
    <w:abstractNumId w:val="5"/>
  </w:num>
  <w:num w:numId="9" w16cid:durableId="555093408">
    <w:abstractNumId w:val="4"/>
  </w:num>
  <w:num w:numId="10" w16cid:durableId="1541894537">
    <w:abstractNumId w:val="6"/>
  </w:num>
  <w:num w:numId="11" w16cid:durableId="20541160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CD2"/>
    <w:rsid w:val="000A2331"/>
    <w:rsid w:val="00203CD2"/>
    <w:rsid w:val="00352EA4"/>
    <w:rsid w:val="003C1E19"/>
    <w:rsid w:val="003F30AA"/>
    <w:rsid w:val="004A0A1B"/>
    <w:rsid w:val="00547B88"/>
    <w:rsid w:val="00565BAE"/>
    <w:rsid w:val="005C004C"/>
    <w:rsid w:val="005D57A8"/>
    <w:rsid w:val="00600CAC"/>
    <w:rsid w:val="00656C0D"/>
    <w:rsid w:val="0071792C"/>
    <w:rsid w:val="00794E45"/>
    <w:rsid w:val="00825C60"/>
    <w:rsid w:val="00B34339"/>
    <w:rsid w:val="00C735C0"/>
    <w:rsid w:val="00D6258D"/>
    <w:rsid w:val="00D654EF"/>
    <w:rsid w:val="00E043E2"/>
    <w:rsid w:val="00E063A2"/>
    <w:rsid w:val="00E44B2D"/>
    <w:rsid w:val="00E4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C1AF1"/>
  <w15:chartTrackingRefBased/>
  <w15:docId w15:val="{293B2BA6-4385-4E81-8C94-784544DD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C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C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C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C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C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C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C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C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C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C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C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C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C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C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C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C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C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467</Words>
  <Characters>2788</Characters>
  <Application>Microsoft Office Word</Application>
  <DocSecurity>0</DocSecurity>
  <Lines>69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Sulit, Monica Corpuz</dc:creator>
  <cp:keywords/>
  <dc:description/>
  <cp:lastModifiedBy>Sulit, Monica Corpuz</cp:lastModifiedBy>
  <cp:revision>14</cp:revision>
  <dcterms:created xsi:type="dcterms:W3CDTF">2025-12-23T16:27:00Z</dcterms:created>
  <dcterms:modified xsi:type="dcterms:W3CDTF">2026-01-07T16:58:00Z</dcterms:modified>
</cp:coreProperties>
</file>